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858" w:rsidRDefault="00E80858" w:rsidP="00E80858">
      <w:pPr>
        <w:rPr>
          <w:sz w:val="24"/>
          <w:szCs w:val="24"/>
        </w:rPr>
      </w:pPr>
      <w:r>
        <w:rPr>
          <w:sz w:val="24"/>
          <w:szCs w:val="24"/>
        </w:rPr>
        <w:t>How to feed magnesium</w:t>
      </w:r>
    </w:p>
    <w:p w:rsidR="00E80858" w:rsidRDefault="00E80858" w:rsidP="00E80858">
      <w:pPr>
        <w:rPr>
          <w:sz w:val="24"/>
          <w:szCs w:val="24"/>
        </w:rPr>
      </w:pPr>
      <w:r>
        <w:rPr>
          <w:sz w:val="24"/>
          <w:szCs w:val="24"/>
        </w:rPr>
        <w:t>Slowly add to feed over a few weeks. Dissolve 1tblspn of flakes in 150ml water. Add 10ml to feed 2x day or 20ml 1x day. Increase every week til 50ml is being added daily. Starting with the weak solution ensures the body can adjust to the new source of magnesium as giving too much too soon without this time frame can cause scouring (loose bowel movements)</w:t>
      </w:r>
    </w:p>
    <w:p w:rsidR="00E80858" w:rsidRDefault="00E80858" w:rsidP="00E80858">
      <w:pPr>
        <w:rPr>
          <w:sz w:val="24"/>
          <w:szCs w:val="24"/>
        </w:rPr>
      </w:pPr>
      <w:r>
        <w:rPr>
          <w:sz w:val="24"/>
          <w:szCs w:val="24"/>
        </w:rPr>
        <w:t xml:space="preserve">Increase quantity of flakes to 2 </w:t>
      </w:r>
      <w:proofErr w:type="spellStart"/>
      <w:r>
        <w:rPr>
          <w:sz w:val="24"/>
          <w:szCs w:val="24"/>
        </w:rPr>
        <w:t>tblspns</w:t>
      </w:r>
      <w:proofErr w:type="spellEnd"/>
      <w:r>
        <w:rPr>
          <w:sz w:val="24"/>
          <w:szCs w:val="24"/>
        </w:rPr>
        <w:t xml:space="preserve"> for the 150ml water and goal is to give this solution over 2 feeds daily. As the stools become softer – ease off the solution a little and maintain. If the stools become softer again even after reducing amount of magnesium then reduce it again – some weather conditions will require more magnesium – some less, depending on the need of the horse at the time. At time of trim I can discuss this with you – as it does seem rather painful to understand – but I assure you – it is not. I have had my horses on </w:t>
      </w:r>
      <w:proofErr w:type="spellStart"/>
      <w:r>
        <w:rPr>
          <w:sz w:val="24"/>
          <w:szCs w:val="24"/>
        </w:rPr>
        <w:t>magnesuim</w:t>
      </w:r>
      <w:proofErr w:type="spellEnd"/>
      <w:r>
        <w:rPr>
          <w:sz w:val="24"/>
          <w:szCs w:val="24"/>
        </w:rPr>
        <w:t xml:space="preserve"> for the last couple of years and I soak my horses feed with a couple of cups of water and just throw a half handful in at time while soaking other feeds. </w:t>
      </w:r>
    </w:p>
    <w:p w:rsidR="001E5352" w:rsidRDefault="001E5352"/>
    <w:sectPr w:rsidR="001E5352" w:rsidSect="001E535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useFELayout/>
  </w:compat>
  <w:rsids>
    <w:rsidRoot w:val="00E80858"/>
    <w:rsid w:val="001044B6"/>
    <w:rsid w:val="001E5352"/>
    <w:rsid w:val="00E80858"/>
    <w:rsid w:val="00F977BB"/>
  </w:rsids>
  <m:mathPr>
    <m:mathFont m:val="Cambria Math"/>
    <m:brkBin m:val="before"/>
    <m:brkBinSub m:val="--"/>
    <m:smallFrac m:val="off"/>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A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858"/>
    <w:rPr>
      <w:rFonts w:ascii="Calibri" w:eastAsia="Times New Roman" w:hAnsi="Calibri" w:cs="Arial"/>
      <w:color w:val="365F91" w:themeColor="accent1" w:themeShade="BF"/>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930</Characters>
  <Application>Microsoft Office Word</Application>
  <DocSecurity>0</DocSecurity>
  <Lines>7</Lines>
  <Paragraphs>2</Paragraphs>
  <ScaleCrop>false</ScaleCrop>
  <Company> </Company>
  <LinksUpToDate>false</LinksUpToDate>
  <CharactersWithSpaces>1090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2014-02-21T08:43:00Z</dcterms:created>
  <dcterms:modified xsi:type="dcterms:W3CDTF">2014-02-21T08:43:00Z</dcterms:modified>
</cp:coreProperties>
</file>